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A1" w:rsidRDefault="00104CA1" w:rsidP="00104CA1">
      <w:pPr>
        <w:spacing w:before="0" w:line="240" w:lineRule="auto"/>
        <w:jc w:val="center"/>
        <w:rPr>
          <w:b/>
          <w:bCs/>
          <w:sz w:val="22"/>
          <w:u w:val="single"/>
        </w:rPr>
      </w:pPr>
      <w:bookmarkStart w:id="0" w:name="ControlPages"/>
      <w:bookmarkEnd w:id="0"/>
      <w:r>
        <w:rPr>
          <w:b/>
          <w:bCs/>
          <w:sz w:val="22"/>
          <w:u w:val="single"/>
        </w:rPr>
        <w:t>LIST OF WORKING PARTIES</w:t>
      </w:r>
    </w:p>
    <w:p w:rsidR="00104CA1" w:rsidRDefault="00104CA1" w:rsidP="00104CA1">
      <w:pPr>
        <w:spacing w:before="0" w:line="240" w:lineRule="auto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WHICH WILL BE OFFICIALLY ORGANISED IN BULGARIA</w:t>
      </w:r>
    </w:p>
    <w:p w:rsidR="00104CA1" w:rsidRDefault="00104CA1" w:rsidP="00104CA1">
      <w:pPr>
        <w:spacing w:before="0" w:line="240" w:lineRule="auto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UNDER BULGARIAN PRESIDENCY</w:t>
      </w:r>
    </w:p>
    <w:p w:rsidR="00104CA1" w:rsidRDefault="00104CA1" w:rsidP="00104CA1">
      <w:pPr>
        <w:spacing w:after="36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(First half of 2018)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4915"/>
        <w:gridCol w:w="1914"/>
        <w:gridCol w:w="1727"/>
      </w:tblGrid>
      <w:tr w:rsidR="00104CA1" w:rsidRPr="00091582" w:rsidTr="00332EAB">
        <w:trPr>
          <w:trHeight w:hRule="exact" w:val="56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/>
                <w:bCs/>
                <w:color w:val="000000"/>
                <w:szCs w:val="24"/>
              </w:rPr>
              <w:t>Code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1582">
              <w:rPr>
                <w:rFonts w:eastAsia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Venue</w:t>
            </w:r>
          </w:p>
        </w:tc>
      </w:tr>
      <w:tr w:rsidR="00104CA1" w:rsidRPr="00BF28D7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G.1</w:t>
            </w:r>
            <w:r>
              <w:rPr>
                <w:rFonts w:eastAsia="Times New Roman"/>
                <w:bCs/>
                <w:color w:val="000000"/>
                <w:szCs w:val="24"/>
                <w:lang w:val="bg-BG"/>
              </w:rPr>
              <w:t>3</w:t>
            </w:r>
            <w:r w:rsidRPr="00091582">
              <w:rPr>
                <w:rFonts w:eastAsia="Times New Roman"/>
                <w:bCs/>
                <w:color w:val="000000"/>
                <w:szCs w:val="24"/>
              </w:rPr>
              <w:t>+G.21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Research + ERAC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 xml:space="preserve">14-16 March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BF28D7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Cs w:val="24"/>
              </w:rPr>
              <w:t>Plovdiv</w:t>
            </w:r>
          </w:p>
        </w:tc>
      </w:tr>
      <w:tr w:rsidR="00104CA1" w:rsidRPr="00091582" w:rsidTr="00332EAB">
        <w:trPr>
          <w:trHeight w:hRule="exact" w:val="1374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E.1+A.6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Strategic Committee on Immigration Frontiers and Asylum (SCIFA) + Standing Committee on Operational Cooperation on Internal Security (COSI)</w:t>
            </w:r>
          </w:p>
          <w:p w:rsidR="00104CA1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  <w:p w:rsidR="00104CA1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15-16 March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J.1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the Environment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12-14 April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I.2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  <w:lang w:eastAsia="fr-BE"/>
              </w:rPr>
              <w:t>Working Party on Public Health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23-24 April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BF28D7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F.20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of Chief Veterinary Officers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24-27 April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BF28D7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  <w:r>
              <w:rPr>
                <w:rFonts w:eastAsia="Times New Roman"/>
                <w:color w:val="000000"/>
                <w:szCs w:val="24"/>
                <w:lang w:val="bg-BG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</w:rPr>
              <w:t>Plovdiv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C.1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BF28D7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  <w:lang w:val="bg-BG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of Foreign Relations Counsellors (RELEX)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2-3 May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D.7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  <w:lang w:eastAsia="fr-BE"/>
              </w:rPr>
              <w:t>Budget Committee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7-9 May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B.1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General Affairs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9-11 May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G.8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Customs Union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17-18 May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Varna</w:t>
            </w:r>
          </w:p>
        </w:tc>
      </w:tr>
      <w:tr w:rsidR="00104CA1" w:rsidRPr="00EC0C7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A.8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  <w:lang w:eastAsia="fr-BE"/>
              </w:rPr>
              <w:t>Special Committee on Agriculture (SCA)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3-5 June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EC0C7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Cs w:val="24"/>
              </w:rPr>
              <w:t>Sofia, Plovdiv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A.4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Trade Policy Committee - Full members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4-5 June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  <w:tr w:rsidR="00104CA1" w:rsidRPr="00A02A6F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G.1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Competitiveness and Growth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7-8 June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A02A6F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Cs w:val="24"/>
              </w:rPr>
              <w:t>Varna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szCs w:val="24"/>
              </w:rPr>
              <w:t>В.7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Atomic Questions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18-20 June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Kozloduy</w:t>
            </w:r>
          </w:p>
        </w:tc>
      </w:tr>
      <w:tr w:rsidR="00104CA1" w:rsidRPr="00A02A6F" w:rsidTr="00332EAB">
        <w:trPr>
          <w:trHeight w:hRule="exact" w:val="68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H.1-4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F74769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Working Parties on Transport </w:t>
            </w:r>
            <w:r w:rsidRPr="00091582">
              <w:rPr>
                <w:rFonts w:eastAsia="Times New Roman"/>
                <w:color w:val="000000"/>
                <w:szCs w:val="24"/>
              </w:rPr>
              <w:t>(H.1 Land, H.2 Shipping, H.3 Aviation, H.4 Networks</w:t>
            </w:r>
            <w:r w:rsidRPr="00F74769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21-22 June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A02A6F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Cs w:val="24"/>
              </w:rPr>
              <w:t>Sofia, Plovdiv</w:t>
            </w:r>
          </w:p>
        </w:tc>
      </w:tr>
      <w:tr w:rsidR="00104CA1" w:rsidRPr="00091582" w:rsidTr="00332EAB">
        <w:trPr>
          <w:trHeight w:hRule="exact" w:val="68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91582">
              <w:rPr>
                <w:rFonts w:eastAsia="Times New Roman"/>
                <w:bCs/>
                <w:color w:val="000000"/>
                <w:szCs w:val="24"/>
              </w:rPr>
              <w:t>H.5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091582">
              <w:rPr>
                <w:rFonts w:eastAsia="Times New Roman"/>
                <w:color w:val="000000"/>
                <w:szCs w:val="24"/>
              </w:rPr>
              <w:t>Working Party on Telecommunications and Information Society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27 June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A1" w:rsidRPr="00091582" w:rsidRDefault="00104CA1" w:rsidP="00332EAB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Sofia</w:t>
            </w:r>
          </w:p>
        </w:tc>
      </w:tr>
    </w:tbl>
    <w:p w:rsidR="00104CA1" w:rsidRDefault="00104CA1" w:rsidP="002730AC">
      <w:pPr>
        <w:pStyle w:val="FinalLine"/>
        <w:spacing w:before="240" w:after="0" w:line="240" w:lineRule="auto"/>
        <w:ind w:left="3402" w:right="3402"/>
        <w:rPr>
          <w:lang w:val="en-US"/>
        </w:rPr>
      </w:pPr>
      <w:bookmarkStart w:id="1" w:name="_GoBack"/>
      <w:bookmarkEnd w:id="1"/>
    </w:p>
    <w:sectPr w:rsidR="00104CA1" w:rsidSect="00CB456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36" w:rsidRDefault="00ED7036" w:rsidP="00B5488B">
      <w:pPr>
        <w:spacing w:after="0" w:line="240" w:lineRule="auto"/>
      </w:pPr>
      <w:r>
        <w:separator/>
      </w:r>
    </w:p>
  </w:endnote>
  <w:endnote w:type="continuationSeparator" w:id="0">
    <w:p w:rsidR="00ED7036" w:rsidRDefault="00ED7036" w:rsidP="00B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CB4564" w:rsidRPr="00D94637" w:rsidTr="00CB4564">
      <w:trPr>
        <w:jc w:val="center"/>
      </w:trPr>
      <w:tc>
        <w:tcPr>
          <w:tcW w:w="5000" w:type="pct"/>
          <w:shd w:val="clear" w:color="auto" w:fill="auto"/>
          <w:tcMar>
            <w:top w:w="57" w:type="dxa"/>
          </w:tcMar>
        </w:tcPr>
        <w:p w:rsidR="00CB4564" w:rsidRPr="00D94637" w:rsidRDefault="00CB456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bookmarkEnd w:id="2"/>
  </w:tbl>
  <w:p w:rsidR="00B5488B" w:rsidRPr="00CB4564" w:rsidRDefault="00B5488B" w:rsidP="00CB4564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1205"/>
      <w:gridCol w:w="2479"/>
      <w:gridCol w:w="1135"/>
    </w:tblGrid>
    <w:tr w:rsidR="00CB4564" w:rsidRPr="00D94637" w:rsidTr="00CB4564">
      <w:trPr>
        <w:jc w:val="center"/>
      </w:trPr>
      <w:tc>
        <w:tcPr>
          <w:tcW w:w="5000" w:type="pct"/>
          <w:gridSpan w:val="4"/>
          <w:shd w:val="clear" w:color="auto" w:fill="auto"/>
          <w:tcMar>
            <w:top w:w="57" w:type="dxa"/>
          </w:tcMar>
        </w:tcPr>
        <w:p w:rsidR="00CB4564" w:rsidRPr="00D94637" w:rsidRDefault="00CB456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CB4564" w:rsidRPr="00B310DC" w:rsidTr="00CB4564">
      <w:trPr>
        <w:jc w:val="center"/>
      </w:trPr>
      <w:tc>
        <w:tcPr>
          <w:tcW w:w="2500" w:type="pct"/>
          <w:shd w:val="clear" w:color="auto" w:fill="auto"/>
          <w:tcMar>
            <w:top w:w="0" w:type="dxa"/>
          </w:tcMar>
        </w:tcPr>
        <w:p w:rsidR="00CB4564" w:rsidRPr="00AD7BF2" w:rsidRDefault="00CB4564" w:rsidP="004F54B2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B4564" w:rsidRPr="00AD7BF2" w:rsidRDefault="00CB4564" w:rsidP="00D94637">
          <w:pPr>
            <w:pStyle w:val="FooterText"/>
            <w:jc w:val="center"/>
          </w:pPr>
        </w:p>
      </w:tc>
      <w:tc>
        <w:tcPr>
          <w:tcW w:w="1286" w:type="pct"/>
          <w:shd w:val="clear" w:color="auto" w:fill="auto"/>
          <w:tcMar>
            <w:top w:w="0" w:type="dxa"/>
          </w:tcMar>
        </w:tcPr>
        <w:p w:rsidR="00CB4564" w:rsidRPr="002511D8" w:rsidRDefault="00CB4564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CB4564" w:rsidRPr="00B310DC" w:rsidRDefault="00CB4564" w:rsidP="00CB4564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730AC">
            <w:rPr>
              <w:noProof/>
            </w:rPr>
            <w:t>1</w:t>
          </w:r>
          <w:r>
            <w:fldChar w:fldCharType="end"/>
          </w:r>
        </w:p>
      </w:tc>
    </w:tr>
  </w:tbl>
  <w:p w:rsidR="00B5488B" w:rsidRPr="00CB4564" w:rsidRDefault="00B5488B" w:rsidP="00CB4564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36" w:rsidRDefault="00ED7036" w:rsidP="00B5488B">
      <w:pPr>
        <w:spacing w:after="0" w:line="240" w:lineRule="auto"/>
      </w:pPr>
      <w:r>
        <w:separator/>
      </w:r>
    </w:p>
  </w:footnote>
  <w:footnote w:type="continuationSeparator" w:id="0">
    <w:p w:rsidR="00ED7036" w:rsidRDefault="00ED7036" w:rsidP="00B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8B" w:rsidRPr="00CB4564" w:rsidRDefault="00CB4564" w:rsidP="00CB4564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8B" w:rsidRPr="00CB4564" w:rsidRDefault="00CB4564" w:rsidP="00CB4564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5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8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1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3"/>
  </w:num>
  <w:num w:numId="5">
    <w:abstractNumId w:val="2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20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1.8&quot; technicalblockguid=&quot;9e57b414-24df-4d0a-acfd-911e087966a3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40&quot; text=&quot;'I' ITEM NOTE&quot; /&gt;_x000d__x000a_    &lt;/basicdatatype&gt;_x000d__x000a_  &lt;/metadata&gt;_x000d__x000a_  &lt;metadata key=&quot;md_HeadingText&quot;&gt;_x000d__x000a_    &lt;headingtext text=&quot;'I' ITEM NOTE&quot;&gt;_x000d__x000a_      &lt;formattedtext&gt;_x000d__x000a_        &lt;xaml text=&quot;'I' ITEM NOTE&quot;&gt;&amp;lt;FlowDocument xmlns=&quot;http://schemas.microsoft.com/winfx/2006/xaml/presentation&quot;&amp;gt;&amp;lt;Paragraph&amp;gt;'I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7-12-01&lt;/text&gt;_x000d__x000a_  &lt;/metadata&gt;_x000d__x000a_  &lt;metadata key=&quot;md_Prefix&quot;&gt;_x000d__x000a_    &lt;text&gt;&lt;/text&gt;_x000d__x000a_  &lt;/metadata&gt;_x000d__x000a_  &lt;metadata key=&quot;md_DocumentNumber&quot;&gt;_x000d__x000a_    &lt;text&gt;14457&lt;/text&gt;_x000d__x000a_  &lt;/metadata&gt;_x000d__x000a_  &lt;metadata key=&quot;md_YearDocumentNumber&quot;&gt;_x000d__x000a_    &lt;text&gt;2017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OLGEN 146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9&quot; text=&quot;Permanent Representatives Committee (Part 1)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List of Working Parties which will be officially organised in Bulgaria under the Bulgarian Presidency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&amp;lt;Run xml:lang=&quot;fr-be&quot;&amp;gt;List of Working Parties which will be officially organised in Bulgaria under the Bulgarian Presidency&amp;lt;/Run&amp;gt;&amp;lt;/Paragraph&amp;gt;&amp;lt;/FlowDocument&amp;gt;&lt;/xaml&gt;_x000d__x000a_  &lt;/metadata&gt;_x000d__x000a_  &lt;metadata key=&quot;md_SubjectFootnote&quot; /&gt;_x000d__x000a_  &lt;metadata key=&quot;md_DG&quot;&gt;_x000d__x000a_    &lt;text&gt;DPG&lt;/text&gt;_x000d__x000a_  &lt;/metadata&gt;_x000d__x000a_  &lt;metadata key=&quot;md_Initials&quot;&gt;_x000d__x000a_    &lt;text&gt;KE/kp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7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7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ED7036"/>
    <w:rsid w:val="00046245"/>
    <w:rsid w:val="00104CA1"/>
    <w:rsid w:val="00161B88"/>
    <w:rsid w:val="0016504B"/>
    <w:rsid w:val="001A7055"/>
    <w:rsid w:val="002730AC"/>
    <w:rsid w:val="00286616"/>
    <w:rsid w:val="004F515C"/>
    <w:rsid w:val="00772954"/>
    <w:rsid w:val="008146F9"/>
    <w:rsid w:val="0082071B"/>
    <w:rsid w:val="00950A6D"/>
    <w:rsid w:val="009930AF"/>
    <w:rsid w:val="009C6417"/>
    <w:rsid w:val="00B464DA"/>
    <w:rsid w:val="00B5488B"/>
    <w:rsid w:val="00C707C6"/>
    <w:rsid w:val="00C73EBC"/>
    <w:rsid w:val="00C97E0D"/>
    <w:rsid w:val="00CB4564"/>
    <w:rsid w:val="00CB6C88"/>
    <w:rsid w:val="00DD2555"/>
    <w:rsid w:val="00DE1674"/>
    <w:rsid w:val="00ED7036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923227-C657-47F6-A98A-FFA49CC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417"/>
    <w:rPr>
      <w:rFonts w:ascii="Times New Roman" w:hAnsi="Times New Roman" w:cs="Times New Roman"/>
      <w:sz w:val="24"/>
      <w:szCs w:val="20"/>
      <w:shd w:val="clear" w:color="auto" w:fill="auto"/>
      <w:lang w:val="en-GB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CB4564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  <w:pPr>
      <w:numPr>
        <w:numId w:val="1"/>
      </w:numPr>
    </w:pPr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customStyle="1" w:styleId="HeaderCouncilLarge">
    <w:name w:val="Header Council Large"/>
    <w:basedOn w:val="Normal"/>
    <w:link w:val="HeaderCouncilLargeChar"/>
    <w:rsid w:val="00ED7036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ED7036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ED7036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ED7036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ED7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DQC</dc:creator>
  <cp:keywords/>
  <dc:description/>
  <cp:lastModifiedBy>RONCORONI Riccardo</cp:lastModifiedBy>
  <cp:revision>2</cp:revision>
  <cp:lastPrinted>2017-12-01T14:28:00Z</cp:lastPrinted>
  <dcterms:created xsi:type="dcterms:W3CDTF">2018-01-09T09:19:00Z</dcterms:created>
  <dcterms:modified xsi:type="dcterms:W3CDTF">2018-01-09T09:19:00Z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4.1.6.0</vt:lpwstr>
  </property>
  <property fmtid="{D5CDD505-2E9C-101B-9397-08002B2CF9AE}" pid="3" name="Created using">
    <vt:lpwstr>DocuWrite 4.1.8, Build 20171027</vt:lpwstr>
  </property>
  <property fmtid="{D5CDD505-2E9C-101B-9397-08002B2CF9AE}" pid="4" name="Last edited using">
    <vt:lpwstr>DocuWrite 4.1.11, Build 20171218</vt:lpwstr>
  </property>
</Properties>
</file>